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6B6" w:rsidRPr="004158A9" w:rsidRDefault="004158A9">
      <w:pPr>
        <w:pStyle w:val="Ttulo1"/>
        <w:rPr>
          <w:lang w:val="es-UY"/>
        </w:rPr>
      </w:pPr>
      <w:bookmarkStart w:id="0" w:name="_GoBack"/>
      <w:bookmarkEnd w:id="0"/>
      <w:r w:rsidRPr="004158A9">
        <w:rPr>
          <w:lang w:val="es-UY"/>
        </w:rPr>
        <w:t>Normas y Estándares Citados en las Especificaciones Técnicas – Item II</w:t>
      </w:r>
    </w:p>
    <w:p w:rsidR="00C866B6" w:rsidRPr="004158A9" w:rsidRDefault="00C866B6">
      <w:pPr>
        <w:rPr>
          <w:lang w:val="es-UY"/>
        </w:rPr>
      </w:pPr>
    </w:p>
    <w:tbl>
      <w:tblPr>
        <w:tblStyle w:val="a"/>
        <w:tblW w:w="804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5"/>
        <w:gridCol w:w="4665"/>
      </w:tblGrid>
      <w:tr w:rsidR="00C866B6">
        <w:trPr>
          <w:trHeight w:val="260"/>
        </w:trPr>
        <w:tc>
          <w:tcPr>
            <w:tcW w:w="3375" w:type="dxa"/>
            <w:shd w:val="clear" w:color="auto" w:fill="B7B7B7"/>
          </w:tcPr>
          <w:p w:rsidR="00C866B6" w:rsidRDefault="004158A9">
            <w:pPr>
              <w:rPr>
                <w:b/>
              </w:rPr>
            </w:pPr>
            <w:r>
              <w:rPr>
                <w:b/>
              </w:rPr>
              <w:t xml:space="preserve">Norma / </w:t>
            </w:r>
            <w:proofErr w:type="spellStart"/>
            <w:r>
              <w:rPr>
                <w:b/>
              </w:rPr>
              <w:t>Estándar</w:t>
            </w:r>
            <w:proofErr w:type="spellEnd"/>
          </w:p>
        </w:tc>
        <w:tc>
          <w:tcPr>
            <w:tcW w:w="4665" w:type="dxa"/>
            <w:shd w:val="clear" w:color="auto" w:fill="B7B7B7"/>
          </w:tcPr>
          <w:p w:rsidR="00C866B6" w:rsidRDefault="004158A9">
            <w:pPr>
              <w:rPr>
                <w:b/>
              </w:rPr>
            </w:pPr>
            <w:proofErr w:type="spellStart"/>
            <w:r>
              <w:rPr>
                <w:b/>
              </w:rPr>
              <w:t>Descripción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Título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AEA 90364 (2016)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Ejecución de instalaciones eléctricas en inmuebles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AEA 92305 (2015)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Protección</w:t>
            </w:r>
            <w:proofErr w:type="spellEnd"/>
            <w:r>
              <w:t xml:space="preserve"> contra </w:t>
            </w:r>
            <w:proofErr w:type="spellStart"/>
            <w:r>
              <w:t>rayos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AEA 95401 (2006)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Centros de transformación y suministro en MT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60043 (2020)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Máquinas</w:t>
            </w:r>
            <w:proofErr w:type="spellEnd"/>
            <w:r>
              <w:t xml:space="preserve"> </w:t>
            </w:r>
            <w:proofErr w:type="spellStart"/>
            <w:r>
              <w:t>Eléctricas</w:t>
            </w:r>
            <w:proofErr w:type="spellEnd"/>
            <w:r>
              <w:t xml:space="preserve"> </w:t>
            </w:r>
            <w:proofErr w:type="spellStart"/>
            <w:r>
              <w:t>Rotativas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60076-11 (2011)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Transformadores</w:t>
            </w:r>
            <w:proofErr w:type="spellEnd"/>
            <w:r>
              <w:t xml:space="preserve"> </w:t>
            </w:r>
            <w:proofErr w:type="spellStart"/>
            <w:r>
              <w:t>tipo</w:t>
            </w:r>
            <w:proofErr w:type="spellEnd"/>
            <w:r>
              <w:t xml:space="preserve"> </w:t>
            </w:r>
            <w:proofErr w:type="spellStart"/>
            <w:r>
              <w:t>seco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IEC 60227-1 (2007)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Cables con PVC hasta 750V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60255-1 (2022)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Relés</w:t>
            </w:r>
            <w:proofErr w:type="spellEnd"/>
            <w:r>
              <w:t xml:space="preserve"> y </w:t>
            </w:r>
            <w:proofErr w:type="spellStart"/>
            <w:r>
              <w:t>protección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60282-1 (2020)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Fusibles</w:t>
            </w:r>
            <w:proofErr w:type="spellEnd"/>
            <w:r>
              <w:t xml:space="preserve"> de</w:t>
            </w:r>
            <w:r>
              <w:t xml:space="preserve"> alto </w:t>
            </w:r>
            <w:proofErr w:type="spellStart"/>
            <w:r>
              <w:t>voltaje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60309-1 (2021)</w:t>
            </w:r>
          </w:p>
        </w:tc>
        <w:tc>
          <w:tcPr>
            <w:tcW w:w="4665" w:type="dxa"/>
          </w:tcPr>
          <w:p w:rsidR="00C866B6" w:rsidRDefault="004158A9">
            <w:r>
              <w:t xml:space="preserve">Tomas y </w:t>
            </w:r>
            <w:proofErr w:type="spellStart"/>
            <w:r>
              <w:t>enchufes</w:t>
            </w:r>
            <w:proofErr w:type="spellEnd"/>
            <w:r>
              <w:t xml:space="preserve"> </w:t>
            </w:r>
            <w:proofErr w:type="spellStart"/>
            <w:r>
              <w:t>industriales</w:t>
            </w:r>
            <w:proofErr w:type="spellEnd"/>
          </w:p>
        </w:tc>
      </w:tr>
      <w:tr w:rsidR="00C866B6">
        <w:trPr>
          <w:trHeight w:val="375"/>
        </w:trPr>
        <w:tc>
          <w:tcPr>
            <w:tcW w:w="3375" w:type="dxa"/>
          </w:tcPr>
          <w:p w:rsidR="00C866B6" w:rsidRDefault="004158A9">
            <w:r>
              <w:t>IEC 60364 (</w:t>
            </w:r>
            <w:proofErr w:type="spellStart"/>
            <w:r>
              <w:t>varias</w:t>
            </w:r>
            <w:proofErr w:type="spellEnd"/>
            <w:r>
              <w:t xml:space="preserve"> </w:t>
            </w:r>
            <w:proofErr w:type="spellStart"/>
            <w:r>
              <w:t>partes</w:t>
            </w:r>
            <w:proofErr w:type="spellEnd"/>
            <w:r>
              <w:t>)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Instalaciones</w:t>
            </w:r>
            <w:proofErr w:type="spellEnd"/>
            <w:r>
              <w:t xml:space="preserve"> </w:t>
            </w:r>
            <w:proofErr w:type="spellStart"/>
            <w:r>
              <w:t>eléctricas</w:t>
            </w:r>
            <w:proofErr w:type="spellEnd"/>
            <w:r>
              <w:t xml:space="preserve"> BT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60617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Simbología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planos</w:t>
            </w:r>
            <w:proofErr w:type="spellEnd"/>
            <w:r>
              <w:t xml:space="preserve"> </w:t>
            </w:r>
            <w:proofErr w:type="spellStart"/>
            <w:r>
              <w:t>eléctricos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61000-3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Compatibilidad</w:t>
            </w:r>
            <w:proofErr w:type="spellEnd"/>
            <w:r>
              <w:t xml:space="preserve"> </w:t>
            </w:r>
            <w:proofErr w:type="spellStart"/>
            <w:r>
              <w:t>electromagnética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IEC 61082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Diagramas</w:t>
            </w:r>
            <w:proofErr w:type="spellEnd"/>
            <w:r>
              <w:t xml:space="preserve"> </w:t>
            </w:r>
            <w:proofErr w:type="spellStart"/>
            <w:r>
              <w:t>eléctricos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ISO 11064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Diseño ergonómico centros de control</w:t>
            </w:r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ISO 11064-6:2005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Requisitos ambientales para centros de control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ISO 11226:2000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Posturas</w:t>
            </w:r>
            <w:proofErr w:type="spellEnd"/>
            <w:r>
              <w:t xml:space="preserve"> </w:t>
            </w:r>
            <w:proofErr w:type="spellStart"/>
            <w:r>
              <w:t>estáticas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ISO 11399:1995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Ergonomía</w:t>
            </w:r>
            <w:proofErr w:type="spellEnd"/>
            <w:r>
              <w:t xml:space="preserve"> </w:t>
            </w:r>
            <w:proofErr w:type="spellStart"/>
            <w:r>
              <w:t>térmica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ISO 11690-1/2:1996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Acústica en lugares de trabajo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ISO 2631-1:1997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Vibración</w:t>
            </w:r>
            <w:proofErr w:type="spellEnd"/>
            <w:r>
              <w:t xml:space="preserve"> </w:t>
            </w:r>
            <w:proofErr w:type="spellStart"/>
            <w:r>
              <w:t>mecánica</w:t>
            </w:r>
            <w:proofErr w:type="spellEnd"/>
            <w:r>
              <w:t xml:space="preserve"> </w:t>
            </w:r>
            <w:proofErr w:type="spellStart"/>
            <w:r>
              <w:t>cuerpo</w:t>
            </w:r>
            <w:proofErr w:type="spellEnd"/>
            <w:r>
              <w:t xml:space="preserve"> </w:t>
            </w:r>
            <w:proofErr w:type="spellStart"/>
            <w:r>
              <w:t>entero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ISO 26800:2011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Principios</w:t>
            </w:r>
            <w:proofErr w:type="spellEnd"/>
            <w:r>
              <w:t xml:space="preserve"> </w:t>
            </w:r>
            <w:proofErr w:type="spellStart"/>
            <w:r>
              <w:t>generales</w:t>
            </w:r>
            <w:proofErr w:type="spellEnd"/>
            <w:r>
              <w:t xml:space="preserve"> de </w:t>
            </w:r>
            <w:proofErr w:type="spellStart"/>
            <w:r>
              <w:t>ergonomía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ISO 7730:2005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Confort térmico (índices PMV y PPD)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IRAM 11505, 11506, 11508, etc.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Normas</w:t>
            </w:r>
            <w:proofErr w:type="spellEnd"/>
            <w:r>
              <w:t xml:space="preserve"> </w:t>
            </w:r>
            <w:proofErr w:type="spellStart"/>
            <w:r>
              <w:t>sanitarias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IRAM 11524, 11541, 11544, etc.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Materiales</w:t>
            </w:r>
            <w:proofErr w:type="spellEnd"/>
            <w:r>
              <w:t xml:space="preserve">, </w:t>
            </w:r>
            <w:proofErr w:type="spellStart"/>
            <w:r>
              <w:t>iluminación</w:t>
            </w:r>
            <w:proofErr w:type="spellEnd"/>
            <w:r>
              <w:t xml:space="preserve">, </w:t>
            </w:r>
            <w:proofErr w:type="spellStart"/>
            <w:r>
              <w:t>terminaciones</w:t>
            </w:r>
            <w:proofErr w:type="spellEnd"/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IRAM 3753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Ergonomía en puestos de oficina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IRAM 1503</w:t>
            </w:r>
          </w:p>
        </w:tc>
        <w:tc>
          <w:tcPr>
            <w:tcW w:w="4665" w:type="dxa"/>
          </w:tcPr>
          <w:p w:rsidR="00C866B6" w:rsidRDefault="00C866B6"/>
        </w:tc>
      </w:tr>
      <w:tr w:rsidR="00C866B6">
        <w:tc>
          <w:tcPr>
            <w:tcW w:w="3375" w:type="dxa"/>
          </w:tcPr>
          <w:p w:rsidR="00C866B6" w:rsidRDefault="004158A9">
            <w:r>
              <w:t>IRAM 1536</w:t>
            </w:r>
          </w:p>
        </w:tc>
        <w:tc>
          <w:tcPr>
            <w:tcW w:w="4665" w:type="dxa"/>
          </w:tcPr>
          <w:p w:rsidR="00C866B6" w:rsidRDefault="00C866B6"/>
        </w:tc>
      </w:tr>
      <w:tr w:rsidR="00C866B6">
        <w:tc>
          <w:tcPr>
            <w:tcW w:w="3375" w:type="dxa"/>
          </w:tcPr>
          <w:p w:rsidR="00C866B6" w:rsidRDefault="004158A9">
            <w:r>
              <w:t>IRAM 1601</w:t>
            </w:r>
          </w:p>
        </w:tc>
        <w:tc>
          <w:tcPr>
            <w:tcW w:w="4665" w:type="dxa"/>
          </w:tcPr>
          <w:p w:rsidR="00C866B6" w:rsidRDefault="00C866B6"/>
        </w:tc>
      </w:tr>
      <w:tr w:rsidR="00C866B6">
        <w:tc>
          <w:tcPr>
            <w:tcW w:w="3375" w:type="dxa"/>
          </w:tcPr>
          <w:p w:rsidR="00C866B6" w:rsidRDefault="004158A9">
            <w:r>
              <w:t>IRAM 1649</w:t>
            </w:r>
          </w:p>
        </w:tc>
        <w:tc>
          <w:tcPr>
            <w:tcW w:w="4665" w:type="dxa"/>
          </w:tcPr>
          <w:p w:rsidR="00C866B6" w:rsidRDefault="00C866B6"/>
        </w:tc>
      </w:tr>
      <w:tr w:rsidR="00C866B6">
        <w:tc>
          <w:tcPr>
            <w:tcW w:w="3375" w:type="dxa"/>
          </w:tcPr>
          <w:p w:rsidR="00C866B6" w:rsidRDefault="004158A9">
            <w:r>
              <w:rPr>
                <w:rFonts w:ascii="Calibri" w:eastAsia="Calibri" w:hAnsi="Calibri" w:cs="Calibri"/>
                <w:color w:val="000000"/>
              </w:rPr>
              <w:t>IRAM-IAS U 500-528</w:t>
            </w:r>
          </w:p>
        </w:tc>
        <w:tc>
          <w:tcPr>
            <w:tcW w:w="4665" w:type="dxa"/>
          </w:tcPr>
          <w:p w:rsidR="00C866B6" w:rsidRDefault="00C866B6"/>
        </w:tc>
      </w:tr>
      <w:tr w:rsidR="00C866B6">
        <w:tc>
          <w:tcPr>
            <w:tcW w:w="3375" w:type="dxa"/>
          </w:tcPr>
          <w:p w:rsidR="00C866B6" w:rsidRDefault="004158A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IRAM-IAS U 500-06</w:t>
            </w:r>
          </w:p>
        </w:tc>
        <w:tc>
          <w:tcPr>
            <w:tcW w:w="4665" w:type="dxa"/>
          </w:tcPr>
          <w:p w:rsidR="00C866B6" w:rsidRDefault="00C866B6"/>
        </w:tc>
      </w:tr>
      <w:tr w:rsidR="00C866B6" w:rsidRPr="004158A9">
        <w:tc>
          <w:tcPr>
            <w:tcW w:w="3375" w:type="dxa"/>
          </w:tcPr>
          <w:p w:rsidR="00C866B6" w:rsidRDefault="004158A9">
            <w:pPr>
              <w:rPr>
                <w:rFonts w:ascii="Calibri" w:eastAsia="Calibri" w:hAnsi="Calibri" w:cs="Calibri"/>
                <w:color w:val="000000"/>
              </w:rPr>
            </w:pPr>
            <w:bookmarkStart w:id="1" w:name="_heading=h.ppkx97rxdd6h" w:colFirst="0" w:colLast="0"/>
            <w:bookmarkEnd w:id="1"/>
            <w:r>
              <w:rPr>
                <w:rFonts w:ascii="Calibri" w:eastAsia="Calibri" w:hAnsi="Calibri" w:cs="Calibri"/>
                <w:color w:val="000000"/>
              </w:rPr>
              <w:t>IRAM 12586</w:t>
            </w:r>
          </w:p>
        </w:tc>
        <w:tc>
          <w:tcPr>
            <w:tcW w:w="4665" w:type="dxa"/>
          </w:tcPr>
          <w:p w:rsidR="00C866B6" w:rsidRPr="004158A9" w:rsidRDefault="00415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-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UY"/>
              </w:rPr>
            </w:pPr>
            <w:r w:rsidRPr="004158A9">
              <w:rPr>
                <w:rFonts w:ascii="Calibri" w:eastAsia="Calibri" w:hAnsi="Calibri" w:cs="Calibri"/>
                <w:color w:val="000000"/>
                <w:lang w:val="es-UY"/>
              </w:rPr>
              <w:t>Resistencia a la compresión de mampostería. </w:t>
            </w:r>
          </w:p>
        </w:tc>
      </w:tr>
      <w:tr w:rsidR="00C866B6" w:rsidRPr="004158A9">
        <w:tc>
          <w:tcPr>
            <w:tcW w:w="3375" w:type="dxa"/>
          </w:tcPr>
          <w:p w:rsidR="00C866B6" w:rsidRDefault="004158A9">
            <w:pPr>
              <w:rPr>
                <w:rFonts w:ascii="Calibri" w:eastAsia="Calibri" w:hAnsi="Calibri" w:cs="Calibri"/>
                <w:color w:val="000000"/>
              </w:rPr>
            </w:pPr>
            <w:r w:rsidRPr="004158A9">
              <w:rPr>
                <w:rFonts w:ascii="Calibri" w:eastAsia="Calibri" w:hAnsi="Calibri" w:cs="Calibri"/>
                <w:color w:val="000000"/>
                <w:lang w:val="es-UY"/>
              </w:rPr>
              <w:t> </w:t>
            </w:r>
            <w:r>
              <w:rPr>
                <w:rFonts w:ascii="Calibri" w:eastAsia="Calibri" w:hAnsi="Calibri" w:cs="Calibri"/>
                <w:color w:val="000000"/>
              </w:rPr>
              <w:t>IRAM 12587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rFonts w:ascii="Calibri" w:eastAsia="Calibri" w:hAnsi="Calibri" w:cs="Calibri"/>
                <w:color w:val="000000"/>
                <w:lang w:val="es-UY"/>
              </w:rPr>
              <w:t>Resistencia a la flexión de mampostería.</w:t>
            </w:r>
          </w:p>
        </w:tc>
      </w:tr>
      <w:tr w:rsidR="00C866B6" w:rsidRPr="004158A9">
        <w:tc>
          <w:tcPr>
            <w:tcW w:w="3375" w:type="dxa"/>
          </w:tcPr>
          <w:p w:rsidR="00C866B6" w:rsidRDefault="004158A9">
            <w:r>
              <w:t>NFPA 110 / NFPA 111</w:t>
            </w:r>
          </w:p>
        </w:tc>
        <w:tc>
          <w:tcPr>
            <w:tcW w:w="4665" w:type="dxa"/>
          </w:tcPr>
          <w:p w:rsidR="00C866B6" w:rsidRPr="004158A9" w:rsidRDefault="004158A9">
            <w:pPr>
              <w:rPr>
                <w:lang w:val="es-UY"/>
              </w:rPr>
            </w:pPr>
            <w:r w:rsidRPr="004158A9">
              <w:rPr>
                <w:lang w:val="es-UY"/>
              </w:rPr>
              <w:t>Sistemas de respaldo y baterías</w:t>
            </w:r>
          </w:p>
        </w:tc>
      </w:tr>
      <w:tr w:rsidR="00C866B6">
        <w:tc>
          <w:tcPr>
            <w:tcW w:w="3375" w:type="dxa"/>
          </w:tcPr>
          <w:p w:rsidR="00C866B6" w:rsidRDefault="004158A9">
            <w:r>
              <w:t>ASTM 119, 413-70T, C 630-91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Ensayos</w:t>
            </w:r>
            <w:proofErr w:type="spellEnd"/>
            <w:r>
              <w:t xml:space="preserve"> </w:t>
            </w:r>
            <w:proofErr w:type="spellStart"/>
            <w:r>
              <w:t>térmicos</w:t>
            </w:r>
            <w:proofErr w:type="spellEnd"/>
            <w:r>
              <w:t xml:space="preserve"> y </w:t>
            </w:r>
            <w:proofErr w:type="spellStart"/>
            <w:r>
              <w:t>acústicos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>NBN 713.020 / ISO 834</w:t>
            </w:r>
          </w:p>
        </w:tc>
        <w:tc>
          <w:tcPr>
            <w:tcW w:w="4665" w:type="dxa"/>
          </w:tcPr>
          <w:p w:rsidR="00C866B6" w:rsidRDefault="004158A9">
            <w:r>
              <w:t xml:space="preserve">Resistencia a la </w:t>
            </w:r>
            <w:proofErr w:type="spellStart"/>
            <w:r>
              <w:t>combustión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r>
              <w:t xml:space="preserve">Ley 19587 y </w:t>
            </w:r>
            <w:proofErr w:type="spellStart"/>
            <w:r>
              <w:t>Decreto</w:t>
            </w:r>
            <w:proofErr w:type="spellEnd"/>
            <w:r>
              <w:t xml:space="preserve"> 351/79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Higiene</w:t>
            </w:r>
            <w:proofErr w:type="spellEnd"/>
            <w:r>
              <w:t xml:space="preserve"> y </w:t>
            </w:r>
            <w:proofErr w:type="spellStart"/>
            <w:r>
              <w:t>seguridad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proofErr w:type="spellStart"/>
            <w:r>
              <w:t>Resolución</w:t>
            </w:r>
            <w:proofErr w:type="spellEnd"/>
            <w:r>
              <w:t xml:space="preserve"> 886/15 SRT</w:t>
            </w:r>
          </w:p>
        </w:tc>
        <w:tc>
          <w:tcPr>
            <w:tcW w:w="4665" w:type="dxa"/>
          </w:tcPr>
          <w:p w:rsidR="00C866B6" w:rsidRDefault="004158A9">
            <w:proofErr w:type="spellStart"/>
            <w:r>
              <w:t>Protocolo</w:t>
            </w:r>
            <w:proofErr w:type="spellEnd"/>
            <w:r>
              <w:t xml:space="preserve"> de </w:t>
            </w:r>
            <w:proofErr w:type="spellStart"/>
            <w:r>
              <w:t>ergonomía</w:t>
            </w:r>
            <w:proofErr w:type="spellEnd"/>
          </w:p>
        </w:tc>
      </w:tr>
      <w:tr w:rsidR="00C866B6">
        <w:tc>
          <w:tcPr>
            <w:tcW w:w="3375" w:type="dxa"/>
          </w:tcPr>
          <w:p w:rsidR="00C866B6" w:rsidRDefault="004158A9">
            <w:proofErr w:type="spellStart"/>
            <w:r>
              <w:rPr>
                <w:rFonts w:ascii="Calibri" w:eastAsia="Calibri" w:hAnsi="Calibri" w:cs="Calibri"/>
                <w:color w:val="000000"/>
              </w:rPr>
              <w:t>Reglamento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CIRSOC 201 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anexo</w:t>
            </w:r>
            <w:proofErr w:type="spellEnd"/>
          </w:p>
        </w:tc>
        <w:tc>
          <w:tcPr>
            <w:tcW w:w="4665" w:type="dxa"/>
          </w:tcPr>
          <w:p w:rsidR="00C866B6" w:rsidRDefault="00C866B6"/>
        </w:tc>
      </w:tr>
    </w:tbl>
    <w:p w:rsidR="00C866B6" w:rsidRDefault="00C866B6"/>
    <w:sectPr w:rsidR="00C866B6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818B4"/>
    <w:multiLevelType w:val="multilevel"/>
    <w:tmpl w:val="EEF4C298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ppeUWbzxcDHxUPiVffmGfxnK4H2RaeeHShWv2cxKFz9BXKiP9oF1cMuRP3zDrgc2F7osZXPA3TkAbGtSkj9JA==" w:salt="YfrZPcnwLqwf6KYwzSr4O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6B6"/>
    <w:rsid w:val="004158A9"/>
    <w:rsid w:val="00C8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BB8C7-9886-48EC-BD99-2DAD7E13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2"/>
        <w:szCs w:val="22"/>
        <w:lang w:val="en-US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rPr>
      <w:rFonts w:ascii="Calibri" w:eastAsia="Calibri" w:hAnsi="Calibri" w:cs="Calibri"/>
      <w:i/>
      <w:color w:val="4F81BD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unhideWhenUsed/>
    <w:rsid w:val="00F94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Vqbjc8GAKpDS7SvcnHQ2oqZ6lw==">CgMxLjAyDmgucHBreDk3cnhkZDZoOAByITFqX3h5aV9idDV4M3BtSXZYRlY1UTB6QmpvQUNmTS01WQ==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1500</Characters>
  <Application>Microsoft Office Word</Application>
  <DocSecurity>8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Alejandro Deniz</cp:lastModifiedBy>
  <cp:revision>3</cp:revision>
  <dcterms:created xsi:type="dcterms:W3CDTF">2013-12-23T23:15:00Z</dcterms:created>
  <dcterms:modified xsi:type="dcterms:W3CDTF">2025-10-14T13:55:00Z</dcterms:modified>
</cp:coreProperties>
</file>